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F4" w:rsidRPr="00AD4DBF" w:rsidRDefault="003A4BC5" w:rsidP="001A5FDF">
      <w:pPr>
        <w:pStyle w:val="Heading3"/>
        <w:rPr>
          <w:rFonts w:ascii="ScalaLF-Regular" w:hAnsi="ScalaLF-Regular"/>
        </w:rPr>
      </w:pPr>
      <w:r w:rsidRPr="00AD4DBF">
        <w:rPr>
          <w:rFonts w:ascii="ScalaLF-Regular" w:hAnsi="ScalaLF-Regular"/>
        </w:rPr>
        <w:t>FA</w:t>
      </w:r>
      <w:r w:rsidR="00FA36F4" w:rsidRPr="00AD4DBF">
        <w:rPr>
          <w:rFonts w:ascii="ScalaLF-Regular" w:hAnsi="ScalaLF-Regular"/>
        </w:rPr>
        <w:t xml:space="preserve"> ATTACHMENT </w:t>
      </w:r>
      <w:r w:rsidR="00AD4DBF">
        <w:rPr>
          <w:rFonts w:ascii="ScalaLF-Regular" w:hAnsi="ScalaLF-Regular"/>
        </w:rPr>
        <w:t>D</w:t>
      </w:r>
    </w:p>
    <w:p w:rsidR="00FA36F4" w:rsidRPr="00AD4DBF" w:rsidRDefault="00AD4DBF">
      <w:pPr>
        <w:pStyle w:val="Heading3"/>
        <w:rPr>
          <w:rFonts w:ascii="ScalaLF-Regular" w:hAnsi="ScalaLF-Regular"/>
        </w:rPr>
      </w:pPr>
      <w:r>
        <w:rPr>
          <w:rFonts w:ascii="ScalaLF-Regular" w:hAnsi="ScalaLF-Regular"/>
        </w:rPr>
        <w:t xml:space="preserve">PROJECT </w:t>
      </w:r>
      <w:r w:rsidR="00FA36F4" w:rsidRPr="00AD4DBF">
        <w:rPr>
          <w:rFonts w:ascii="ScalaLF-Regular" w:hAnsi="ScalaLF-Regular"/>
        </w:rPr>
        <w:t>REPORTING &amp; EXPENDITURE GUIDELINES</w:t>
      </w:r>
    </w:p>
    <w:p w:rsidR="00FA36F4" w:rsidRPr="003A4BC5" w:rsidRDefault="00FA36F4">
      <w:pPr>
        <w:spacing w:before="240"/>
        <w:rPr>
          <w:rFonts w:ascii="ScalaLF-Regular" w:hAnsi="ScalaLF-Regular"/>
        </w:rPr>
      </w:pPr>
    </w:p>
    <w:p w:rsidR="00FA36F4" w:rsidRPr="00AD4DBF" w:rsidRDefault="00FA36F4">
      <w:pPr>
        <w:pStyle w:val="Heading2"/>
        <w:rPr>
          <w:rFonts w:ascii="ScalaLF-Regular" w:hAnsi="ScalaLF-Regular"/>
          <w:u w:val="single"/>
        </w:rPr>
      </w:pPr>
      <w:r w:rsidRPr="00AD4DBF">
        <w:rPr>
          <w:rFonts w:ascii="ScalaLF-Regular" w:hAnsi="ScalaLF-Regular"/>
        </w:rPr>
        <w:t>REPORTING PROCEDURES</w:t>
      </w:r>
    </w:p>
    <w:p w:rsidR="00FA36F4" w:rsidRPr="00AD4DBF" w:rsidRDefault="00FA36F4" w:rsidP="00E776F6">
      <w:pPr>
        <w:numPr>
          <w:ilvl w:val="0"/>
          <w:numId w:val="1"/>
        </w:numPr>
        <w:spacing w:before="120"/>
        <w:ind w:left="288" w:hanging="288"/>
        <w:rPr>
          <w:rFonts w:ascii="ScalaLF-Regular" w:hAnsi="ScalaLF-Regular"/>
          <w:spacing w:val="-3"/>
        </w:rPr>
      </w:pPr>
      <w:r>
        <w:rPr>
          <w:rFonts w:ascii="ScalaLF-Regular" w:hAnsi="ScalaLF-Regular"/>
        </w:rPr>
        <w:t xml:space="preserve">Quarterly </w:t>
      </w:r>
      <w:r w:rsidR="00420510">
        <w:rPr>
          <w:rFonts w:ascii="ScalaLF-Regular" w:hAnsi="ScalaLF-Regular"/>
        </w:rPr>
        <w:t>Progress/</w:t>
      </w:r>
      <w:r>
        <w:rPr>
          <w:rFonts w:ascii="ScalaLF-Regular" w:hAnsi="ScalaLF-Regular"/>
        </w:rPr>
        <w:t xml:space="preserve">Expenditure </w:t>
      </w:r>
      <w:r w:rsidRPr="00AD4DBF">
        <w:rPr>
          <w:rFonts w:ascii="ScalaLF-Regular" w:hAnsi="ScalaLF-Regular"/>
        </w:rPr>
        <w:t>Report (</w:t>
      </w:r>
      <w:r w:rsidRPr="00AD4DBF">
        <w:rPr>
          <w:rFonts w:ascii="ScalaLF-Regular" w:hAnsi="ScalaLF-Regular"/>
          <w:b/>
          <w:u w:val="single"/>
        </w:rPr>
        <w:t xml:space="preserve">Attachment </w:t>
      </w:r>
      <w:r w:rsidR="00AD4DBF">
        <w:rPr>
          <w:rFonts w:ascii="ScalaLF-Regular" w:hAnsi="ScalaLF-Regular"/>
          <w:b/>
          <w:u w:val="single"/>
        </w:rPr>
        <w:t>D</w:t>
      </w:r>
      <w:r w:rsidR="003B4700">
        <w:rPr>
          <w:rFonts w:ascii="ScalaLF-Regular" w:hAnsi="ScalaLF-Regular"/>
          <w:b/>
          <w:u w:val="single"/>
        </w:rPr>
        <w:t>2</w:t>
      </w:r>
      <w:r w:rsidRPr="00AD4DBF">
        <w:rPr>
          <w:rFonts w:ascii="ScalaLF-Regular" w:hAnsi="ScalaLF-Regular"/>
        </w:rPr>
        <w:t>)</w:t>
      </w:r>
      <w:r>
        <w:rPr>
          <w:rFonts w:ascii="ScalaLF-Regular" w:hAnsi="ScalaLF-Regular"/>
        </w:rPr>
        <w:t xml:space="preserve"> </w:t>
      </w:r>
      <w:r w:rsidR="003B4700">
        <w:rPr>
          <w:rFonts w:ascii="ScalaLF-Regular" w:hAnsi="ScalaLF-Regular"/>
        </w:rPr>
        <w:t xml:space="preserve">are </w:t>
      </w:r>
      <w:r>
        <w:rPr>
          <w:rFonts w:ascii="ScalaLF-Regular" w:hAnsi="ScalaLF-Regular"/>
        </w:rPr>
        <w:t xml:space="preserve">required for all projects.  The </w:t>
      </w:r>
      <w:r w:rsidR="00B052BA">
        <w:rPr>
          <w:rFonts w:ascii="ScalaLF-Regular" w:hAnsi="ScalaLF-Regular"/>
        </w:rPr>
        <w:t>GRANTEE</w:t>
      </w:r>
      <w:r>
        <w:rPr>
          <w:rFonts w:ascii="ScalaLF-Regular" w:hAnsi="ScalaLF-Regular"/>
        </w:rPr>
        <w:t xml:space="preserve"> shall be subject to and comply with all applicable requirements of the funding agency regarding project-reporting requirements.  In addition, </w:t>
      </w:r>
      <w:r w:rsidR="00B052BA">
        <w:rPr>
          <w:rFonts w:ascii="ScalaLF-Regular" w:hAnsi="ScalaLF-Regular"/>
        </w:rPr>
        <w:t>GRANTEE</w:t>
      </w:r>
      <w:r>
        <w:rPr>
          <w:rFonts w:ascii="ScalaLF-Regular" w:hAnsi="ScalaLF-Regular"/>
        </w:rPr>
        <w:t xml:space="preserve"> will submit </w:t>
      </w:r>
      <w:r w:rsidR="003B4700">
        <w:rPr>
          <w:rFonts w:ascii="ScalaLF-Regular" w:hAnsi="ScalaLF-Regular"/>
        </w:rPr>
        <w:t>the Quarterly Expenditure Report</w:t>
      </w:r>
      <w:r>
        <w:rPr>
          <w:rFonts w:ascii="ScalaLF-Regular" w:hAnsi="ScalaLF-Regular"/>
        </w:rPr>
        <w:t xml:space="preserve"> to the </w:t>
      </w:r>
      <w:r w:rsidR="002F4919">
        <w:rPr>
          <w:rFonts w:ascii="ScalaLF-Regular" w:hAnsi="ScalaLF-Regular"/>
        </w:rPr>
        <w:t>LACMTA</w:t>
      </w:r>
      <w:r w:rsidR="003B4700">
        <w:rPr>
          <w:rFonts w:ascii="ScalaLF-Regular" w:hAnsi="ScalaLF-Regular"/>
        </w:rPr>
        <w:t>, after receiving LACMTA Project Manager’s acceptance of the draft report,</w:t>
      </w:r>
      <w:r>
        <w:rPr>
          <w:rFonts w:ascii="ScalaLF-Regular" w:hAnsi="ScalaLF-Regular"/>
        </w:rPr>
        <w:t xml:space="preserve"> </w:t>
      </w:r>
      <w:r w:rsidRPr="00AD4DBF">
        <w:rPr>
          <w:rFonts w:ascii="ScalaLF-Regular" w:hAnsi="ScalaLF-Regular"/>
        </w:rPr>
        <w:t xml:space="preserve">at </w:t>
      </w:r>
      <w:hyperlink r:id="rId8" w:history="1">
        <w:r w:rsidR="00B23C76" w:rsidRPr="00C20FFF">
          <w:rPr>
            <w:rStyle w:val="Hyperlink"/>
            <w:rFonts w:ascii="ScalaLF-Regular" w:hAnsi="ScalaLF-Regular"/>
            <w:b/>
          </w:rPr>
          <w:t>ACCOUNTSPAYABLE@METRO.NET</w:t>
        </w:r>
      </w:hyperlink>
      <w:r w:rsidR="00B23C76">
        <w:rPr>
          <w:rFonts w:ascii="ScalaLF-Regular" w:hAnsi="ScalaLF-Regular"/>
          <w:b/>
        </w:rPr>
        <w:t xml:space="preserve"> </w:t>
      </w:r>
      <w:r w:rsidR="00B23C76" w:rsidRPr="00B23C76">
        <w:rPr>
          <w:rFonts w:ascii="ScalaLF-Regular" w:hAnsi="ScalaLF-Regular"/>
        </w:rPr>
        <w:t>or by mail to</w:t>
      </w:r>
      <w:r w:rsidR="00B23C76">
        <w:rPr>
          <w:rFonts w:ascii="ScalaLF-Regular" w:hAnsi="ScalaLF-Regular"/>
          <w:b/>
        </w:rPr>
        <w:t xml:space="preserve"> </w:t>
      </w:r>
      <w:r w:rsidR="00B23C76">
        <w:rPr>
          <w:rFonts w:ascii="ScalaLF-Bold" w:hAnsi="ScalaLF-Bold"/>
        </w:rPr>
        <w:t>Los Angeles Metropolitan Transportation Authority, Accounts Payable, P. O. Box 512296, Los Angeles, California 90051-0296.</w:t>
      </w:r>
      <w:r w:rsidR="00B23C76">
        <w:rPr>
          <w:rFonts w:ascii="ScalaLF-Regular" w:hAnsi="ScalaLF-Regular"/>
        </w:rPr>
        <w:t xml:space="preserve">  </w:t>
      </w:r>
      <w:r w:rsidRPr="00AD4DBF">
        <w:rPr>
          <w:rFonts w:ascii="ScalaLF-Regular" w:hAnsi="ScalaLF-Regular"/>
        </w:rPr>
        <w:t xml:space="preserve">Please note that letters or other forms of documentation may </w:t>
      </w:r>
      <w:r w:rsidRPr="00AD4DBF">
        <w:rPr>
          <w:rFonts w:ascii="ScalaLF-Regular" w:hAnsi="ScalaLF-Regular"/>
          <w:b/>
          <w:u w:val="single"/>
        </w:rPr>
        <w:t>not</w:t>
      </w:r>
      <w:r w:rsidRPr="00AD4DBF">
        <w:rPr>
          <w:rFonts w:ascii="ScalaLF-Regular" w:hAnsi="ScalaLF-Regular"/>
        </w:rPr>
        <w:t xml:space="preserve"> be substituted for this form.</w:t>
      </w:r>
    </w:p>
    <w:p w:rsidR="00FA36F4" w:rsidRDefault="00FA36F4" w:rsidP="00E776F6">
      <w:pPr>
        <w:numPr>
          <w:ilvl w:val="0"/>
          <w:numId w:val="1"/>
        </w:numPr>
        <w:spacing w:before="360"/>
        <w:ind w:left="274" w:hanging="274"/>
        <w:rPr>
          <w:rFonts w:ascii="ScalaLF-Regular" w:hAnsi="ScalaLF-Regular"/>
        </w:rPr>
      </w:pPr>
      <w:r w:rsidRPr="00AD4DBF">
        <w:rPr>
          <w:rFonts w:ascii="ScalaLF-Regular" w:hAnsi="ScalaLF-Regular"/>
        </w:rPr>
        <w:t xml:space="preserve">The </w:t>
      </w:r>
      <w:r w:rsidR="003B4700">
        <w:rPr>
          <w:rFonts w:ascii="ScalaLF-Regular" w:hAnsi="ScalaLF-Regular"/>
        </w:rPr>
        <w:t xml:space="preserve">Quarterly </w:t>
      </w:r>
      <w:r w:rsidR="00420510">
        <w:rPr>
          <w:rFonts w:ascii="ScalaLF-Regular" w:hAnsi="ScalaLF-Regular"/>
        </w:rPr>
        <w:t>Progress/</w:t>
      </w:r>
      <w:r w:rsidRPr="00AD4DBF">
        <w:rPr>
          <w:rFonts w:ascii="ScalaLF-Regular" w:hAnsi="ScalaLF-Regular"/>
        </w:rPr>
        <w:t>Expenditure Report covers all activities related</w:t>
      </w:r>
      <w:r>
        <w:rPr>
          <w:rFonts w:ascii="ScalaLF-Regular" w:hAnsi="ScalaLF-Regular"/>
        </w:rPr>
        <w:t xml:space="preserve"> to the project and lists all costs incurred.  It is essential that </w:t>
      </w:r>
      <w:r w:rsidR="00B052BA">
        <w:rPr>
          <w:rFonts w:ascii="ScalaLF-Regular" w:hAnsi="ScalaLF-Regular"/>
        </w:rPr>
        <w:t>GRANTEE</w:t>
      </w:r>
      <w:r>
        <w:rPr>
          <w:rFonts w:ascii="ScalaLF-Regular" w:hAnsi="ScalaLF-Regular"/>
        </w:rPr>
        <w:t xml:space="preserve"> provide</w:t>
      </w:r>
      <w:r w:rsidR="00C97100">
        <w:rPr>
          <w:rFonts w:ascii="ScalaLF-Regular" w:hAnsi="ScalaLF-Regular"/>
        </w:rPr>
        <w:t>s</w:t>
      </w:r>
      <w:r>
        <w:rPr>
          <w:rFonts w:ascii="ScalaLF-Regular" w:hAnsi="ScalaLF-Regular"/>
        </w:rPr>
        <w:t xml:space="preserve"> complete and adequate response to all the questions.  The expenses listed must be supported by appropriate documentation with a clear explanation of the purpose and relevance of each expense to the project.    </w:t>
      </w:r>
    </w:p>
    <w:p w:rsidR="00FA36F4" w:rsidRDefault="00FA36F4" w:rsidP="00E776F6">
      <w:pPr>
        <w:numPr>
          <w:ilvl w:val="0"/>
          <w:numId w:val="1"/>
        </w:numPr>
        <w:spacing w:before="360"/>
        <w:ind w:left="274" w:hanging="274"/>
        <w:rPr>
          <w:rFonts w:ascii="ScalaLF-Regular" w:hAnsi="ScalaLF-Regular"/>
        </w:rPr>
      </w:pPr>
      <w:r>
        <w:rPr>
          <w:rFonts w:ascii="ScalaLF-Regular" w:hAnsi="ScalaLF-Regular"/>
        </w:rPr>
        <w:t xml:space="preserve">In cases where there are no activities to report, or problems causing delays, clear explanation, including actions to remedy the situation, must be provided.  </w:t>
      </w:r>
    </w:p>
    <w:p w:rsidR="00FA36F4" w:rsidRDefault="00B052BA" w:rsidP="00AD4DBF">
      <w:pPr>
        <w:numPr>
          <w:ilvl w:val="0"/>
          <w:numId w:val="1"/>
        </w:numPr>
        <w:spacing w:before="360"/>
        <w:ind w:left="288" w:hanging="288"/>
        <w:rPr>
          <w:rFonts w:ascii="ScalaLF-Regular" w:hAnsi="ScalaLF-Regular"/>
        </w:rPr>
      </w:pPr>
      <w:r>
        <w:rPr>
          <w:rFonts w:ascii="ScalaLF-Regular" w:hAnsi="ScalaLF-Regular"/>
        </w:rPr>
        <w:t>GRANTEE</w:t>
      </w:r>
      <w:r w:rsidR="00C97100">
        <w:rPr>
          <w:rFonts w:ascii="ScalaLF-Regular" w:hAnsi="ScalaLF-Regular"/>
        </w:rPr>
        <w:t xml:space="preserve"> is</w:t>
      </w:r>
      <w:r w:rsidR="00FA36F4">
        <w:rPr>
          <w:rFonts w:ascii="ScalaLF-Regular" w:hAnsi="ScalaLF-Regular"/>
        </w:rPr>
        <w:t xml:space="preserve"> required to track and report on the project schedule.  </w:t>
      </w:r>
      <w:r w:rsidR="002F4919">
        <w:rPr>
          <w:rFonts w:ascii="ScalaLF-Regular" w:hAnsi="ScalaLF-Regular"/>
        </w:rPr>
        <w:t>LACMTA</w:t>
      </w:r>
      <w:r w:rsidR="00FA36F4">
        <w:rPr>
          <w:rFonts w:ascii="ScalaLF-Regular" w:hAnsi="ScalaLF-Regular"/>
        </w:rPr>
        <w:t xml:space="preserve"> will monitor the timely use of funds and delivery of projects.  Project delay, if any, must be reported each quarter.  </w:t>
      </w:r>
    </w:p>
    <w:p w:rsidR="00FA36F4" w:rsidRDefault="00FA36F4" w:rsidP="00AD4DBF">
      <w:pPr>
        <w:numPr>
          <w:ilvl w:val="0"/>
          <w:numId w:val="1"/>
        </w:numPr>
        <w:spacing w:before="360"/>
        <w:ind w:left="288" w:hanging="288"/>
        <w:rPr>
          <w:rFonts w:ascii="ScalaLF-Regular" w:hAnsi="ScalaLF-Regular"/>
          <w:spacing w:val="-3"/>
        </w:rPr>
      </w:pPr>
      <w:r>
        <w:rPr>
          <w:rFonts w:ascii="ScalaLF-Regular" w:hAnsi="ScalaLF-Regular"/>
        </w:rPr>
        <w:t xml:space="preserve">The </w:t>
      </w:r>
      <w:r w:rsidR="003B4700">
        <w:rPr>
          <w:rFonts w:ascii="ScalaLF-Regular" w:hAnsi="ScalaLF-Regular"/>
        </w:rPr>
        <w:t xml:space="preserve">draft </w:t>
      </w:r>
      <w:r>
        <w:rPr>
          <w:rFonts w:ascii="ScalaLF-Regular" w:hAnsi="ScalaLF-Regular"/>
        </w:rPr>
        <w:t xml:space="preserve">Quarterly Expenditure Report is due to the </w:t>
      </w:r>
      <w:r w:rsidR="002F4919">
        <w:rPr>
          <w:rFonts w:ascii="ScalaLF-Regular" w:hAnsi="ScalaLF-Regular"/>
        </w:rPr>
        <w:t>LACMTA</w:t>
      </w:r>
      <w:r>
        <w:rPr>
          <w:rFonts w:ascii="ScalaLF-Regular" w:hAnsi="ScalaLF-Regular"/>
        </w:rPr>
        <w:t xml:space="preserve"> as soon as possible after the close of each quarter, but no later than the following dates for each fiscal year:  </w:t>
      </w:r>
    </w:p>
    <w:p w:rsidR="00FA36F4" w:rsidRDefault="00FA36F4">
      <w:pPr>
        <w:numPr>
          <w:ilvl w:val="12"/>
          <w:numId w:val="0"/>
        </w:numPr>
        <w:rPr>
          <w:rFonts w:ascii="ScalaLF-Regular" w:hAnsi="ScalaLF-Regular"/>
        </w:rPr>
      </w:pPr>
    </w:p>
    <w:tbl>
      <w:tblPr>
        <w:tblW w:w="0" w:type="auto"/>
        <w:tblInd w:w="1458" w:type="dxa"/>
        <w:tblLayout w:type="fixed"/>
        <w:tblLook w:val="0000" w:firstRow="0" w:lastRow="0" w:firstColumn="0" w:lastColumn="0" w:noHBand="0" w:noVBand="0"/>
      </w:tblPr>
      <w:tblGrid>
        <w:gridCol w:w="3015"/>
        <w:gridCol w:w="3015"/>
      </w:tblGrid>
      <w:tr w:rsidR="00FA36F4">
        <w:tc>
          <w:tcPr>
            <w:tcW w:w="3015" w:type="dxa"/>
            <w:tcBorders>
              <w:top w:val="nil"/>
              <w:left w:val="nil"/>
              <w:bottom w:val="nil"/>
              <w:right w:val="nil"/>
            </w:tcBorders>
          </w:tcPr>
          <w:p w:rsidR="00FA36F4" w:rsidRDefault="00BF0B08">
            <w:pPr>
              <w:numPr>
                <w:ilvl w:val="12"/>
                <w:numId w:val="0"/>
              </w:numPr>
              <w:jc w:val="center"/>
              <w:rPr>
                <w:rFonts w:ascii="ScalaLF-Regular" w:hAnsi="ScalaLF-Regular"/>
                <w:i/>
              </w:rPr>
            </w:pPr>
            <w:r>
              <w:rPr>
                <w:rFonts w:ascii="ScalaLF-Regular" w:hAnsi="ScalaLF-Regular"/>
                <w:noProof/>
              </w:rPr>
              <mc:AlternateContent>
                <mc:Choice Requires="wps">
                  <w:drawing>
                    <wp:anchor distT="0" distB="0" distL="114300" distR="114300" simplePos="0" relativeHeight="251657216" behindDoc="0" locked="0" layoutInCell="0" allowOverlap="1" wp14:anchorId="61CCBAE9" wp14:editId="062B6267">
                      <wp:simplePos x="0" y="0"/>
                      <wp:positionH relativeFrom="column">
                        <wp:posOffset>1051560</wp:posOffset>
                      </wp:positionH>
                      <wp:positionV relativeFrom="paragraph">
                        <wp:posOffset>226695</wp:posOffset>
                      </wp:positionV>
                      <wp:extent cx="146367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83F32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7.85pt" to="198.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" o:allowincell="f" strokeweight=".25pt"/>
                  </w:pict>
                </mc:Fallback>
              </mc:AlternateContent>
            </w:r>
            <w:r w:rsidR="00FA36F4">
              <w:rPr>
                <w:rFonts w:ascii="ScalaLF-Regular" w:hAnsi="ScalaLF-Regular"/>
                <w:i/>
              </w:rPr>
              <w:t>Quarter</w:t>
            </w:r>
          </w:p>
          <w:p w:rsidR="00FA36F4" w:rsidRDefault="00FA36F4">
            <w:pPr>
              <w:numPr>
                <w:ilvl w:val="12"/>
                <w:numId w:val="0"/>
              </w:numPr>
              <w:jc w:val="center"/>
              <w:rPr>
                <w:rFonts w:ascii="ScalaLF-Regular" w:hAnsi="ScalaLF-Regular"/>
                <w:i/>
              </w:rPr>
            </w:pPr>
            <w:r>
              <w:rPr>
                <w:rFonts w:ascii="ScalaLF-Regular" w:hAnsi="ScalaLF-Regular"/>
                <w:i/>
              </w:rPr>
              <w:tab/>
            </w:r>
            <w:r w:rsidR="00BF0B08">
              <w:rPr>
                <w:rFonts w:ascii="ScalaLF-Regular" w:hAnsi="ScalaLF-Regular"/>
                <w:noProof/>
              </w:rPr>
              <mc:AlternateContent>
                <mc:Choice Requires="wps">
                  <w:drawing>
                    <wp:anchor distT="0" distB="0" distL="114300" distR="114300" simplePos="0" relativeHeight="251658240" behindDoc="0" locked="0" layoutInCell="0" allowOverlap="1" wp14:anchorId="496AB028" wp14:editId="1CF4C4DA">
                      <wp:simplePos x="0" y="0"/>
                      <wp:positionH relativeFrom="column">
                        <wp:posOffset>2971800</wp:posOffset>
                      </wp:positionH>
                      <wp:positionV relativeFrom="paragraph">
                        <wp:posOffset>226695</wp:posOffset>
                      </wp:positionV>
                      <wp:extent cx="146367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2693D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7.85pt" to="349.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" o:allowincell="f" strokeweight=".25pt"/>
                  </w:pict>
                </mc:Fallback>
              </mc:AlternateContent>
            </w:r>
          </w:p>
        </w:tc>
        <w:tc>
          <w:tcPr>
            <w:tcW w:w="3015" w:type="dxa"/>
            <w:tcBorders>
              <w:top w:val="nil"/>
              <w:left w:val="nil"/>
              <w:bottom w:val="nil"/>
              <w:right w:val="nil"/>
            </w:tcBorders>
          </w:tcPr>
          <w:p w:rsidR="00FA36F4" w:rsidRDefault="00FA36F4">
            <w:pPr>
              <w:numPr>
                <w:ilvl w:val="12"/>
                <w:numId w:val="0"/>
              </w:numPr>
              <w:jc w:val="center"/>
              <w:rPr>
                <w:rFonts w:ascii="ScalaLF-Regular" w:hAnsi="ScalaLF-Regular"/>
                <w:i/>
              </w:rPr>
            </w:pPr>
            <w:r>
              <w:rPr>
                <w:rFonts w:ascii="ScalaLF-Regular" w:hAnsi="ScalaLF-Regular"/>
                <w:i/>
              </w:rPr>
              <w:t>Report Due Date</w:t>
            </w:r>
          </w:p>
          <w:p w:rsidR="00FA36F4" w:rsidRDefault="00FA36F4">
            <w:pPr>
              <w:numPr>
                <w:ilvl w:val="12"/>
                <w:numId w:val="0"/>
              </w:numPr>
              <w:jc w:val="center"/>
              <w:rPr>
                <w:rFonts w:ascii="ScalaLF-Regular" w:hAnsi="ScalaLF-Regular"/>
                <w:i/>
              </w:rPr>
            </w:pPr>
          </w:p>
        </w:tc>
      </w:tr>
      <w:tr w:rsidR="00FA36F4">
        <w:tc>
          <w:tcPr>
            <w:tcW w:w="3015" w:type="dxa"/>
            <w:tcBorders>
              <w:top w:val="nil"/>
              <w:left w:val="nil"/>
              <w:bottom w:val="nil"/>
              <w:right w:val="nil"/>
            </w:tcBorders>
          </w:tcPr>
          <w:p w:rsidR="00FA36F4" w:rsidRDefault="00FA36F4">
            <w:pPr>
              <w:numPr>
                <w:ilvl w:val="12"/>
                <w:numId w:val="0"/>
              </w:numPr>
              <w:jc w:val="center"/>
              <w:rPr>
                <w:rFonts w:ascii="ScalaLF-Regular" w:hAnsi="ScalaLF-Regular"/>
              </w:rPr>
            </w:pPr>
            <w:r>
              <w:rPr>
                <w:rFonts w:ascii="ScalaLF-Regular" w:hAnsi="ScalaLF-Regular"/>
              </w:rPr>
              <w:t>July –September</w:t>
            </w:r>
          </w:p>
        </w:tc>
        <w:tc>
          <w:tcPr>
            <w:tcW w:w="3015" w:type="dxa"/>
            <w:tcBorders>
              <w:top w:val="nil"/>
              <w:left w:val="nil"/>
              <w:bottom w:val="nil"/>
              <w:right w:val="nil"/>
            </w:tcBorders>
          </w:tcPr>
          <w:p w:rsidR="00FA36F4" w:rsidRDefault="00FA36F4">
            <w:pPr>
              <w:numPr>
                <w:ilvl w:val="12"/>
                <w:numId w:val="0"/>
              </w:numPr>
              <w:jc w:val="center"/>
              <w:rPr>
                <w:rFonts w:ascii="ScalaLF-Regular" w:hAnsi="ScalaLF-Regular"/>
              </w:rPr>
            </w:pPr>
            <w:r>
              <w:rPr>
                <w:rFonts w:ascii="ScalaLF-Regular" w:hAnsi="ScalaLF-Regular"/>
              </w:rPr>
              <w:t>November 30</w:t>
            </w:r>
          </w:p>
        </w:tc>
      </w:tr>
      <w:tr w:rsidR="00FA36F4">
        <w:tc>
          <w:tcPr>
            <w:tcW w:w="3015" w:type="dxa"/>
            <w:tcBorders>
              <w:top w:val="nil"/>
              <w:left w:val="nil"/>
              <w:bottom w:val="nil"/>
              <w:right w:val="nil"/>
            </w:tcBorders>
          </w:tcPr>
          <w:p w:rsidR="00FA36F4" w:rsidRDefault="00FA36F4">
            <w:pPr>
              <w:numPr>
                <w:ilvl w:val="12"/>
                <w:numId w:val="0"/>
              </w:numPr>
              <w:jc w:val="center"/>
              <w:rPr>
                <w:rFonts w:ascii="ScalaLF-Regular" w:hAnsi="ScalaLF-Regular"/>
              </w:rPr>
            </w:pPr>
            <w:r>
              <w:rPr>
                <w:rFonts w:ascii="ScalaLF-Regular" w:hAnsi="ScalaLF-Regular"/>
              </w:rPr>
              <w:t>October - December</w:t>
            </w:r>
          </w:p>
        </w:tc>
        <w:tc>
          <w:tcPr>
            <w:tcW w:w="3015" w:type="dxa"/>
            <w:tcBorders>
              <w:top w:val="nil"/>
              <w:left w:val="nil"/>
              <w:bottom w:val="nil"/>
              <w:right w:val="nil"/>
            </w:tcBorders>
          </w:tcPr>
          <w:p w:rsidR="00FA36F4" w:rsidRDefault="00FA36F4">
            <w:pPr>
              <w:numPr>
                <w:ilvl w:val="12"/>
                <w:numId w:val="0"/>
              </w:numPr>
              <w:jc w:val="center"/>
              <w:rPr>
                <w:rFonts w:ascii="ScalaLF-Regular" w:hAnsi="ScalaLF-Regular"/>
              </w:rPr>
            </w:pPr>
            <w:r>
              <w:rPr>
                <w:rFonts w:ascii="ScalaLF-Regular" w:hAnsi="ScalaLF-Regular"/>
              </w:rPr>
              <w:t>February 28</w:t>
            </w:r>
          </w:p>
        </w:tc>
      </w:tr>
      <w:tr w:rsidR="00FA36F4">
        <w:tc>
          <w:tcPr>
            <w:tcW w:w="3015" w:type="dxa"/>
            <w:tcBorders>
              <w:top w:val="nil"/>
              <w:left w:val="nil"/>
              <w:bottom w:val="nil"/>
              <w:right w:val="nil"/>
            </w:tcBorders>
          </w:tcPr>
          <w:p w:rsidR="00FA36F4" w:rsidRDefault="00FA36F4">
            <w:pPr>
              <w:numPr>
                <w:ilvl w:val="12"/>
                <w:numId w:val="0"/>
              </w:numPr>
              <w:jc w:val="center"/>
              <w:rPr>
                <w:rFonts w:ascii="ScalaLF-Regular" w:hAnsi="ScalaLF-Regular"/>
              </w:rPr>
            </w:pPr>
            <w:r>
              <w:rPr>
                <w:rFonts w:ascii="ScalaLF-Regular" w:hAnsi="ScalaLF-Regular"/>
              </w:rPr>
              <w:t>January - March</w:t>
            </w:r>
          </w:p>
        </w:tc>
        <w:tc>
          <w:tcPr>
            <w:tcW w:w="3015" w:type="dxa"/>
            <w:tcBorders>
              <w:top w:val="nil"/>
              <w:left w:val="nil"/>
              <w:bottom w:val="nil"/>
              <w:right w:val="nil"/>
            </w:tcBorders>
          </w:tcPr>
          <w:p w:rsidR="00FA36F4" w:rsidRDefault="00FA36F4">
            <w:pPr>
              <w:numPr>
                <w:ilvl w:val="12"/>
                <w:numId w:val="0"/>
              </w:numPr>
              <w:jc w:val="center"/>
              <w:rPr>
                <w:rFonts w:ascii="ScalaLF-Regular" w:hAnsi="ScalaLF-Regular"/>
              </w:rPr>
            </w:pPr>
            <w:r>
              <w:rPr>
                <w:rFonts w:ascii="ScalaLF-Regular" w:hAnsi="ScalaLF-Regular"/>
              </w:rPr>
              <w:t>May 31</w:t>
            </w:r>
          </w:p>
        </w:tc>
      </w:tr>
      <w:tr w:rsidR="00FA36F4">
        <w:tc>
          <w:tcPr>
            <w:tcW w:w="3015" w:type="dxa"/>
            <w:tcBorders>
              <w:top w:val="nil"/>
              <w:left w:val="nil"/>
              <w:bottom w:val="nil"/>
              <w:right w:val="nil"/>
            </w:tcBorders>
          </w:tcPr>
          <w:p w:rsidR="00FA36F4" w:rsidRDefault="00FA36F4">
            <w:pPr>
              <w:numPr>
                <w:ilvl w:val="12"/>
                <w:numId w:val="0"/>
              </w:numPr>
              <w:jc w:val="center"/>
              <w:rPr>
                <w:rFonts w:ascii="ScalaLF-Regular" w:hAnsi="ScalaLF-Regular"/>
              </w:rPr>
            </w:pPr>
            <w:r>
              <w:rPr>
                <w:rFonts w:ascii="ScalaLF-Regular" w:hAnsi="ScalaLF-Regular"/>
              </w:rPr>
              <w:t>April - June</w:t>
            </w:r>
          </w:p>
        </w:tc>
        <w:tc>
          <w:tcPr>
            <w:tcW w:w="3015" w:type="dxa"/>
            <w:tcBorders>
              <w:top w:val="nil"/>
              <w:left w:val="nil"/>
              <w:bottom w:val="nil"/>
              <w:right w:val="nil"/>
            </w:tcBorders>
          </w:tcPr>
          <w:p w:rsidR="00FA36F4" w:rsidRDefault="00FA36F4">
            <w:pPr>
              <w:numPr>
                <w:ilvl w:val="12"/>
                <w:numId w:val="0"/>
              </w:numPr>
              <w:jc w:val="center"/>
              <w:rPr>
                <w:rFonts w:ascii="ScalaLF-Regular" w:hAnsi="ScalaLF-Regular"/>
              </w:rPr>
            </w:pPr>
            <w:r>
              <w:rPr>
                <w:rFonts w:ascii="ScalaLF-Regular" w:hAnsi="ScalaLF-Regular"/>
              </w:rPr>
              <w:t>August 31</w:t>
            </w:r>
          </w:p>
        </w:tc>
      </w:tr>
    </w:tbl>
    <w:p w:rsidR="00FA36F4" w:rsidRDefault="00FA36F4">
      <w:pPr>
        <w:numPr>
          <w:ilvl w:val="12"/>
          <w:numId w:val="0"/>
        </w:numPr>
        <w:rPr>
          <w:rFonts w:ascii="ScalaLF-Regular" w:hAnsi="ScalaLF-Regular"/>
        </w:rPr>
      </w:pPr>
    </w:p>
    <w:p w:rsidR="00E90626" w:rsidRDefault="00E90626" w:rsidP="00E776F6">
      <w:pPr>
        <w:numPr>
          <w:ilvl w:val="12"/>
          <w:numId w:val="0"/>
        </w:numPr>
        <w:jc w:val="both"/>
        <w:rPr>
          <w:rFonts w:ascii="ScalaLF-Regular" w:hAnsi="ScalaLF-Regular"/>
        </w:rPr>
      </w:pPr>
      <w:r>
        <w:rPr>
          <w:rFonts w:ascii="ScalaLF-Regular" w:hAnsi="ScalaLF-Regular"/>
        </w:rPr>
        <w:t>LACMTA Project Manager shall review and respond in writing to the draft</w:t>
      </w:r>
      <w:r w:rsidR="00420510">
        <w:rPr>
          <w:rFonts w:ascii="ScalaLF-Regular" w:hAnsi="ScalaLF-Regular"/>
        </w:rPr>
        <w:t xml:space="preserve"> </w:t>
      </w:r>
      <w:r>
        <w:rPr>
          <w:rFonts w:ascii="ScalaLF-Regular" w:hAnsi="ScalaLF-Regular"/>
        </w:rPr>
        <w:t xml:space="preserve">Quarterly Expenditure Report within thirty (30) calendar days from receipt. </w:t>
      </w:r>
    </w:p>
    <w:p w:rsidR="00E90626" w:rsidRDefault="00E90626" w:rsidP="00E776F6">
      <w:pPr>
        <w:numPr>
          <w:ilvl w:val="12"/>
          <w:numId w:val="0"/>
        </w:numPr>
        <w:jc w:val="both"/>
        <w:rPr>
          <w:rFonts w:ascii="ScalaLF-Regular" w:hAnsi="ScalaLF-Regular"/>
        </w:rPr>
      </w:pPr>
    </w:p>
    <w:p w:rsidR="00FA36F4" w:rsidRDefault="00FA36F4" w:rsidP="00E776F6">
      <w:pPr>
        <w:numPr>
          <w:ilvl w:val="12"/>
          <w:numId w:val="0"/>
        </w:numPr>
        <w:jc w:val="both"/>
        <w:rPr>
          <w:rFonts w:ascii="ScalaLF-Regular" w:hAnsi="ScalaLF-Regular"/>
        </w:rPr>
      </w:pPr>
      <w:r>
        <w:rPr>
          <w:rFonts w:ascii="ScalaLF-Regular" w:hAnsi="ScalaLF-Regular"/>
        </w:rPr>
        <w:t xml:space="preserve">Upon completion of the Project a final report that includes project’s final evaluation must be submitted. </w:t>
      </w:r>
      <w:bookmarkStart w:id="0" w:name="_GoBack"/>
      <w:bookmarkEnd w:id="0"/>
    </w:p>
    <w:p w:rsidR="00FA36F4" w:rsidRDefault="00FA36F4" w:rsidP="00E776F6">
      <w:pPr>
        <w:numPr>
          <w:ilvl w:val="12"/>
          <w:numId w:val="0"/>
        </w:numPr>
        <w:jc w:val="both"/>
        <w:rPr>
          <w:rFonts w:ascii="ScalaLF-Regular" w:hAnsi="ScalaLF-Regular"/>
        </w:rPr>
      </w:pPr>
    </w:p>
    <w:p w:rsidR="00FA36F4" w:rsidRPr="001F2A31" w:rsidRDefault="00FA36F4">
      <w:pPr>
        <w:numPr>
          <w:ilvl w:val="12"/>
          <w:numId w:val="0"/>
        </w:numPr>
        <w:rPr>
          <w:rFonts w:ascii="ScalaLF-Regular" w:hAnsi="ScalaLF-Regular"/>
        </w:rPr>
      </w:pPr>
    </w:p>
    <w:p w:rsidR="00FA36F4" w:rsidRPr="00AD4DBF" w:rsidRDefault="00FA36F4">
      <w:pPr>
        <w:pStyle w:val="Heading2"/>
        <w:numPr>
          <w:ilvl w:val="12"/>
          <w:numId w:val="0"/>
        </w:numPr>
        <w:spacing w:before="0"/>
        <w:rPr>
          <w:rFonts w:ascii="ScalaLF-Regular" w:hAnsi="ScalaLF-Regular"/>
          <w:u w:val="single"/>
        </w:rPr>
      </w:pPr>
      <w:r w:rsidRPr="00AD4DBF">
        <w:rPr>
          <w:rFonts w:ascii="ScalaLF-Regular" w:hAnsi="ScalaLF-Regular"/>
        </w:rPr>
        <w:t>EXPENDITURE GUIDELINES</w:t>
      </w:r>
    </w:p>
    <w:p w:rsidR="00FA36F4" w:rsidRDefault="00FA36F4" w:rsidP="00E776F6">
      <w:pPr>
        <w:numPr>
          <w:ilvl w:val="0"/>
          <w:numId w:val="1"/>
        </w:numPr>
        <w:spacing w:before="240"/>
        <w:ind w:left="288" w:hanging="288"/>
        <w:rPr>
          <w:rFonts w:ascii="ScalaLF-Regular" w:hAnsi="ScalaLF-Regular"/>
        </w:rPr>
      </w:pPr>
      <w:r w:rsidRPr="00AD4DBF">
        <w:rPr>
          <w:rFonts w:ascii="ScalaLF-Regular" w:hAnsi="ScalaLF-Regular"/>
        </w:rPr>
        <w:t>Any activity or expense charged above and beyond the approved Scope</w:t>
      </w:r>
      <w:r w:rsidR="00AD4DBF">
        <w:rPr>
          <w:rFonts w:ascii="ScalaLF-Regular" w:hAnsi="ScalaLF-Regular"/>
        </w:rPr>
        <w:t xml:space="preserve"> </w:t>
      </w:r>
      <w:r w:rsidRPr="00AD4DBF">
        <w:rPr>
          <w:rFonts w:ascii="ScalaLF-Regular" w:hAnsi="ScalaLF-Regular"/>
        </w:rPr>
        <w:t>of</w:t>
      </w:r>
      <w:r w:rsidR="00AD4DBF">
        <w:rPr>
          <w:rFonts w:ascii="ScalaLF-Regular" w:hAnsi="ScalaLF-Regular"/>
        </w:rPr>
        <w:t xml:space="preserve"> </w:t>
      </w:r>
      <w:r w:rsidRPr="00AD4DBF">
        <w:rPr>
          <w:rFonts w:ascii="ScalaLF-Regular" w:hAnsi="ScalaLF-Regular"/>
        </w:rPr>
        <w:t>Work (</w:t>
      </w:r>
      <w:r w:rsidR="003A4BC5" w:rsidRPr="00AD4DBF">
        <w:rPr>
          <w:rFonts w:ascii="ScalaLF-Regular" w:hAnsi="ScalaLF-Regular"/>
        </w:rPr>
        <w:t>FA</w:t>
      </w:r>
      <w:r w:rsidRPr="00AD4DBF">
        <w:rPr>
          <w:rFonts w:ascii="ScalaLF-Regular" w:hAnsi="ScalaLF-Regular"/>
        </w:rPr>
        <w:t xml:space="preserve"> Attachment </w:t>
      </w:r>
      <w:r w:rsidR="00AD4DBF">
        <w:rPr>
          <w:rFonts w:ascii="ScalaLF-Regular" w:hAnsi="ScalaLF-Regular"/>
        </w:rPr>
        <w:t>C</w:t>
      </w:r>
      <w:r w:rsidR="002E37CE" w:rsidRPr="00AD4DBF">
        <w:rPr>
          <w:rFonts w:ascii="ScalaLF-Regular" w:hAnsi="ScalaLF-Regular"/>
        </w:rPr>
        <w:t>)</w:t>
      </w:r>
      <w:r w:rsidRPr="00AD4DBF">
        <w:rPr>
          <w:rFonts w:ascii="ScalaLF-Regular" w:hAnsi="ScalaLF-Regular"/>
        </w:rPr>
        <w:t xml:space="preserve"> </w:t>
      </w:r>
      <w:r w:rsidRPr="00AD4DBF">
        <w:rPr>
          <w:rFonts w:ascii="ScalaLF-Regular" w:hAnsi="ScalaLF-Regular"/>
          <w:b/>
          <w:u w:val="single"/>
        </w:rPr>
        <w:t>is considered ineligible</w:t>
      </w:r>
      <w:r w:rsidRPr="00AD4DBF">
        <w:rPr>
          <w:rFonts w:ascii="ScalaLF-Regular" w:hAnsi="ScalaLF-Regular"/>
        </w:rPr>
        <w:t xml:space="preserve"> and will not be reimbursed by the </w:t>
      </w:r>
      <w:r w:rsidR="002F4919" w:rsidRPr="00AD4DBF">
        <w:rPr>
          <w:rFonts w:ascii="ScalaLF-Regular" w:hAnsi="ScalaLF-Regular"/>
        </w:rPr>
        <w:t>LACMTA</w:t>
      </w:r>
      <w:r w:rsidRPr="00AD4DBF">
        <w:rPr>
          <w:rFonts w:ascii="ScalaLF-Regular" w:hAnsi="ScalaLF-Regular"/>
        </w:rPr>
        <w:t xml:space="preserve"> unless </w:t>
      </w:r>
      <w:r w:rsidRPr="00AD4DBF">
        <w:rPr>
          <w:rFonts w:ascii="ScalaLF-Regular" w:hAnsi="ScalaLF-Regular"/>
          <w:b/>
          <w:u w:val="single"/>
        </w:rPr>
        <w:t>prior written authorization</w:t>
      </w:r>
      <w:r w:rsidRPr="00AD4DBF">
        <w:rPr>
          <w:rFonts w:ascii="ScalaLF-Regular" w:hAnsi="ScalaLF-Regular"/>
        </w:rPr>
        <w:t xml:space="preserve"> has</w:t>
      </w:r>
      <w:r>
        <w:rPr>
          <w:rFonts w:ascii="ScalaLF-Regular" w:hAnsi="ScalaLF-Regular"/>
        </w:rPr>
        <w:t xml:space="preserve"> been granted by the </w:t>
      </w:r>
      <w:r w:rsidR="002F4919">
        <w:rPr>
          <w:rFonts w:ascii="ScalaLF-Regular" w:hAnsi="ScalaLF-Regular"/>
        </w:rPr>
        <w:t>LACMTA</w:t>
      </w:r>
      <w:r>
        <w:rPr>
          <w:rFonts w:ascii="ScalaLF-Regular" w:hAnsi="ScalaLF-Regular"/>
        </w:rPr>
        <w:t xml:space="preserve"> Chief Executive Officer or his</w:t>
      </w:r>
      <w:r w:rsidR="00AD4DBF">
        <w:rPr>
          <w:rFonts w:ascii="ScalaLF-Regular" w:hAnsi="ScalaLF-Regular"/>
        </w:rPr>
        <w:t>/her</w:t>
      </w:r>
      <w:r>
        <w:rPr>
          <w:rFonts w:ascii="ScalaLF-Regular" w:hAnsi="ScalaLF-Regular"/>
        </w:rPr>
        <w:t xml:space="preserve"> designee.</w:t>
      </w:r>
    </w:p>
    <w:p w:rsidR="00FA36F4" w:rsidRDefault="00FA36F4" w:rsidP="00E776F6">
      <w:pPr>
        <w:numPr>
          <w:ilvl w:val="0"/>
          <w:numId w:val="1"/>
        </w:numPr>
        <w:spacing w:before="240"/>
        <w:ind w:left="288" w:hanging="288"/>
        <w:rPr>
          <w:rFonts w:ascii="ScalaLF-Regular" w:hAnsi="ScalaLF-Regular"/>
        </w:rPr>
      </w:pPr>
      <w:r>
        <w:rPr>
          <w:rFonts w:ascii="ScalaLF-Regular" w:hAnsi="ScalaLF-Regular"/>
        </w:rPr>
        <w:t>Any expense charged to the grant must be clearly and directly related to the project.</w:t>
      </w:r>
    </w:p>
    <w:p w:rsidR="00FA36F4" w:rsidRDefault="00FA36F4" w:rsidP="00E776F6">
      <w:pPr>
        <w:numPr>
          <w:ilvl w:val="0"/>
          <w:numId w:val="1"/>
        </w:numPr>
        <w:spacing w:before="240"/>
        <w:ind w:left="288" w:hanging="288"/>
        <w:rPr>
          <w:rFonts w:ascii="ScalaLF-Regular" w:hAnsi="ScalaLF-Regular"/>
        </w:rPr>
      </w:pPr>
      <w:r>
        <w:rPr>
          <w:rFonts w:ascii="ScalaLF-Regular" w:hAnsi="ScalaLF-Regular"/>
        </w:rPr>
        <w:t xml:space="preserve">Administrative cost is the ongoing expense incurred by the </w:t>
      </w:r>
      <w:r w:rsidR="00B052BA">
        <w:rPr>
          <w:rFonts w:ascii="ScalaLF-Regular" w:hAnsi="ScalaLF-Regular"/>
        </w:rPr>
        <w:t>GRANTEE</w:t>
      </w:r>
      <w:r>
        <w:rPr>
          <w:rFonts w:ascii="ScalaLF-Regular" w:hAnsi="ScalaLF-Regular"/>
        </w:rPr>
        <w:t xml:space="preserve"> for the duration of the project and for the direct benefit of the project as specified in the Scope</w:t>
      </w:r>
      <w:r w:rsidR="00AD4DBF">
        <w:rPr>
          <w:rFonts w:ascii="ScalaLF-Regular" w:hAnsi="ScalaLF-Regular"/>
        </w:rPr>
        <w:t xml:space="preserve"> </w:t>
      </w:r>
      <w:r>
        <w:rPr>
          <w:rFonts w:ascii="ScalaLF-Regular" w:hAnsi="ScalaLF-Regular"/>
        </w:rPr>
        <w:t>of</w:t>
      </w:r>
      <w:r w:rsidR="00AD4DBF">
        <w:rPr>
          <w:rFonts w:ascii="ScalaLF-Regular" w:hAnsi="ScalaLF-Regular"/>
        </w:rPr>
        <w:t xml:space="preserve"> </w:t>
      </w:r>
      <w:r>
        <w:rPr>
          <w:rFonts w:ascii="ScalaLF-Regular" w:hAnsi="ScalaLF-Regular"/>
        </w:rPr>
        <w:t xml:space="preserve">Work (Attachment </w:t>
      </w:r>
      <w:r w:rsidR="00AD4DBF">
        <w:rPr>
          <w:rFonts w:ascii="ScalaLF-Regular" w:hAnsi="ScalaLF-Regular"/>
        </w:rPr>
        <w:t>C</w:t>
      </w:r>
      <w:r>
        <w:rPr>
          <w:rFonts w:ascii="ScalaLF-Regular" w:hAnsi="ScalaLF-Regular"/>
        </w:rPr>
        <w:t>).  Examples of administrative costs are personnel, office supplies, and equipment.  As a condition for eligibility, all costs must be necessary for maintaining, monitoring, coordinating, reporting and budgeting of the project.  Additionally, expenses must be reasonable and appropriate to the activities related to the project.</w:t>
      </w:r>
    </w:p>
    <w:p w:rsidR="00FA36F4" w:rsidRPr="00AD4DBF" w:rsidRDefault="002F4919" w:rsidP="00E776F6">
      <w:pPr>
        <w:numPr>
          <w:ilvl w:val="0"/>
          <w:numId w:val="1"/>
        </w:numPr>
        <w:spacing w:before="240"/>
        <w:ind w:left="288" w:hanging="288"/>
        <w:rPr>
          <w:rFonts w:ascii="ScalaLF-Regular" w:hAnsi="ScalaLF-Regular"/>
        </w:rPr>
      </w:pPr>
      <w:r>
        <w:rPr>
          <w:rFonts w:ascii="ScalaLF-Regular" w:hAnsi="ScalaLF-Regular"/>
        </w:rPr>
        <w:t>LACMTA</w:t>
      </w:r>
      <w:r w:rsidR="00FA36F4">
        <w:rPr>
          <w:rFonts w:ascii="ScalaLF-Regular" w:hAnsi="ScalaLF-Regular"/>
        </w:rPr>
        <w:t xml:space="preserve"> is not responsible for, and will not reimburse any costs incurred by the </w:t>
      </w:r>
      <w:r w:rsidR="00B052BA">
        <w:rPr>
          <w:rFonts w:ascii="ScalaLF-Regular" w:hAnsi="ScalaLF-Regular"/>
        </w:rPr>
        <w:t>GRANTEE</w:t>
      </w:r>
      <w:r w:rsidR="00FA36F4">
        <w:rPr>
          <w:rFonts w:ascii="ScalaLF-Regular" w:hAnsi="ScalaLF-Regular"/>
        </w:rPr>
        <w:t xml:space="preserve"> prior to the </w:t>
      </w:r>
      <w:r w:rsidR="00306856">
        <w:rPr>
          <w:rFonts w:ascii="ScalaLF-Regular" w:hAnsi="ScalaLF-Regular"/>
        </w:rPr>
        <w:t>Effective Date</w:t>
      </w:r>
      <w:r w:rsidR="00FA36F4">
        <w:rPr>
          <w:rFonts w:ascii="ScalaLF-Regular" w:hAnsi="ScalaLF-Regular"/>
        </w:rPr>
        <w:t xml:space="preserve"> of the </w:t>
      </w:r>
      <w:r w:rsidR="003A4BC5">
        <w:rPr>
          <w:rFonts w:ascii="ScalaLF-Regular" w:hAnsi="ScalaLF-Regular"/>
        </w:rPr>
        <w:t>FA</w:t>
      </w:r>
      <w:r w:rsidR="00FA36F4">
        <w:rPr>
          <w:rFonts w:ascii="ScalaLF-Regular" w:hAnsi="ScalaLF-Regular"/>
        </w:rPr>
        <w:t xml:space="preserve">, unless </w:t>
      </w:r>
      <w:r w:rsidR="00FA36F4" w:rsidRPr="00AD4DBF">
        <w:rPr>
          <w:rFonts w:ascii="ScalaLF-Regular" w:hAnsi="ScalaLF-Regular"/>
          <w:b/>
          <w:u w:val="single"/>
        </w:rPr>
        <w:t>written authorization</w:t>
      </w:r>
      <w:r w:rsidR="00FA36F4" w:rsidRPr="00AD4DBF">
        <w:rPr>
          <w:rFonts w:ascii="ScalaLF-Regular" w:hAnsi="ScalaLF-Regular"/>
        </w:rPr>
        <w:t xml:space="preserve"> has been granted by the </w:t>
      </w:r>
      <w:r w:rsidRPr="00AD4DBF">
        <w:rPr>
          <w:rFonts w:ascii="ScalaLF-Regular" w:hAnsi="ScalaLF-Regular"/>
        </w:rPr>
        <w:t>LACMTA</w:t>
      </w:r>
      <w:r w:rsidR="00FA36F4" w:rsidRPr="00AD4DBF">
        <w:rPr>
          <w:rFonts w:ascii="ScalaLF-Regular" w:hAnsi="ScalaLF-Regular"/>
        </w:rPr>
        <w:t xml:space="preserve"> Chief Executive Officer or </w:t>
      </w:r>
      <w:r w:rsidR="00306856">
        <w:rPr>
          <w:rFonts w:ascii="ScalaLF-Regular" w:hAnsi="ScalaLF-Regular"/>
        </w:rPr>
        <w:t>his/</w:t>
      </w:r>
      <w:r w:rsidR="00FA36F4" w:rsidRPr="00AD4DBF">
        <w:rPr>
          <w:rFonts w:ascii="ScalaLF-Regular" w:hAnsi="ScalaLF-Regular"/>
        </w:rPr>
        <w:t>her designee.</w:t>
      </w:r>
    </w:p>
    <w:p w:rsidR="00FA36F4" w:rsidRPr="00AD4DBF" w:rsidRDefault="00FA36F4">
      <w:pPr>
        <w:numPr>
          <w:ilvl w:val="12"/>
          <w:numId w:val="0"/>
        </w:numPr>
        <w:rPr>
          <w:rFonts w:ascii="ScalaLF-Regular" w:hAnsi="ScalaLF-Regular"/>
        </w:rPr>
      </w:pPr>
    </w:p>
    <w:p w:rsidR="00FA36F4" w:rsidRPr="00AD4DBF" w:rsidRDefault="00FA36F4">
      <w:pPr>
        <w:numPr>
          <w:ilvl w:val="12"/>
          <w:numId w:val="0"/>
        </w:numPr>
        <w:rPr>
          <w:rFonts w:ascii="ScalaLF-Regular" w:hAnsi="ScalaLF-Regular"/>
        </w:rPr>
      </w:pPr>
    </w:p>
    <w:p w:rsidR="00FA36F4" w:rsidRPr="00AD4DBF" w:rsidRDefault="00FA36F4">
      <w:pPr>
        <w:numPr>
          <w:ilvl w:val="12"/>
          <w:numId w:val="0"/>
        </w:numPr>
        <w:rPr>
          <w:rFonts w:ascii="ScalaLF-Regular" w:hAnsi="ScalaLF-Regular"/>
        </w:rPr>
      </w:pPr>
      <w:r w:rsidRPr="00AD4DBF">
        <w:rPr>
          <w:rFonts w:ascii="ScalaLF-Regular" w:hAnsi="ScalaLF-Regular"/>
          <w:b/>
        </w:rPr>
        <w:t>DEFINITIONS</w:t>
      </w:r>
      <w:r w:rsidRPr="00AD4DBF">
        <w:rPr>
          <w:rFonts w:ascii="ScalaLF-Regular" w:hAnsi="ScalaLF-Regular"/>
        </w:rPr>
        <w:t xml:space="preserve"> </w:t>
      </w:r>
    </w:p>
    <w:p w:rsidR="00FA36F4" w:rsidRDefault="00FA36F4" w:rsidP="00E776F6">
      <w:pPr>
        <w:numPr>
          <w:ilvl w:val="0"/>
          <w:numId w:val="1"/>
        </w:numPr>
        <w:spacing w:before="240"/>
        <w:ind w:left="288" w:hanging="288"/>
        <w:rPr>
          <w:rFonts w:ascii="ScalaLF-Regular" w:hAnsi="ScalaLF-Regular"/>
        </w:rPr>
      </w:pPr>
      <w:r>
        <w:rPr>
          <w:rFonts w:ascii="ScalaLF-Regular" w:hAnsi="ScalaLF-Regular"/>
        </w:rPr>
        <w:t>Allowable Cost:</w:t>
      </w:r>
      <w:r>
        <w:rPr>
          <w:rFonts w:ascii="ScalaLF-Regular" w:hAnsi="ScalaLF-Regular"/>
          <w:b/>
        </w:rPr>
        <w:t xml:space="preserve"> </w:t>
      </w:r>
      <w:r>
        <w:rPr>
          <w:rFonts w:ascii="ScalaLF-Regular" w:hAnsi="ScalaLF-Regular"/>
        </w:rPr>
        <w:t xml:space="preserve"> To be allowable, costs must be reasonable, recognized as ordinary and necessary, consistent with established practices of the organization, and consistent with industry standard of pay for work classification.</w:t>
      </w:r>
    </w:p>
    <w:p w:rsidR="00FA36F4" w:rsidRDefault="00FA36F4" w:rsidP="00E776F6">
      <w:pPr>
        <w:numPr>
          <w:ilvl w:val="0"/>
          <w:numId w:val="1"/>
        </w:numPr>
        <w:spacing w:before="240"/>
        <w:ind w:left="288" w:hanging="288"/>
        <w:rPr>
          <w:rFonts w:ascii="ScalaLF-Regular" w:hAnsi="ScalaLF-Regular"/>
        </w:rPr>
      </w:pPr>
      <w:r>
        <w:rPr>
          <w:rFonts w:ascii="ScalaLF-Regular" w:hAnsi="ScalaLF-Regular"/>
        </w:rPr>
        <w:t>Excessive Cost:</w:t>
      </w:r>
      <w:r>
        <w:rPr>
          <w:rFonts w:ascii="ScalaLF-Regular" w:hAnsi="ScalaLF-Regular"/>
          <w:b/>
        </w:rPr>
        <w:t xml:space="preserve">  </w:t>
      </w:r>
      <w:r>
        <w:rPr>
          <w:rFonts w:ascii="ScalaLF-Regular" w:hAnsi="ScalaLF-Regular"/>
        </w:rPr>
        <w:t xml:space="preserve">Any expense deemed “excessive” by </w:t>
      </w:r>
      <w:r w:rsidR="002F4919">
        <w:rPr>
          <w:rFonts w:ascii="ScalaLF-Regular" w:hAnsi="ScalaLF-Regular"/>
        </w:rPr>
        <w:t>LACMTA</w:t>
      </w:r>
      <w:r>
        <w:rPr>
          <w:rFonts w:ascii="ScalaLF-Regular" w:hAnsi="ScalaLF-Regular"/>
        </w:rPr>
        <w:t xml:space="preserve"> staff would be adjusted to reflect a “reasonable and customary” level.  For detail definition of “reasonable cost”, please refer to the Federal Register </w:t>
      </w:r>
      <w:r>
        <w:rPr>
          <w:rFonts w:ascii="ScalaLF-Regular" w:hAnsi="ScalaLF-Regular"/>
          <w:i/>
        </w:rPr>
        <w:t>OMB Circulars A-87 Cost Principals for State and Local Governments; and A-122 Cost Principals for Nonprofit Organizations</w:t>
      </w:r>
      <w:r>
        <w:rPr>
          <w:rFonts w:ascii="ScalaLF-Regular" w:hAnsi="ScalaLF-Regular"/>
        </w:rPr>
        <w:t xml:space="preserve">. </w:t>
      </w:r>
      <w:r>
        <w:rPr>
          <w:rFonts w:ascii="ScalaLF-Regular" w:hAnsi="ScalaLF-Regular"/>
          <w:i/>
        </w:rPr>
        <w:t xml:space="preserve"> </w:t>
      </w:r>
    </w:p>
    <w:p w:rsidR="00FA36F4" w:rsidRDefault="001A5FDF" w:rsidP="00E776F6">
      <w:pPr>
        <w:numPr>
          <w:ilvl w:val="0"/>
          <w:numId w:val="1"/>
        </w:numPr>
        <w:spacing w:before="240"/>
        <w:ind w:left="288" w:hanging="288"/>
        <w:rPr>
          <w:rFonts w:ascii="ScalaLF-Regular" w:hAnsi="ScalaLF-Regular"/>
        </w:rPr>
      </w:pPr>
      <w:r>
        <w:rPr>
          <w:rFonts w:ascii="ScalaLF-Regular" w:hAnsi="ScalaLF-Regular"/>
        </w:rPr>
        <w:t>In</w:t>
      </w:r>
      <w:r w:rsidR="00FA36F4">
        <w:rPr>
          <w:rFonts w:ascii="ScalaLF-Regular" w:hAnsi="ScalaLF-Regular"/>
        </w:rPr>
        <w:t>eligible Expenditures: Any activity or expense charged above and beyond the approved Scope</w:t>
      </w:r>
      <w:r w:rsidR="00AD4DBF">
        <w:rPr>
          <w:rFonts w:ascii="ScalaLF-Regular" w:hAnsi="ScalaLF-Regular"/>
        </w:rPr>
        <w:t xml:space="preserve"> </w:t>
      </w:r>
      <w:r w:rsidR="00FA36F4">
        <w:rPr>
          <w:rFonts w:ascii="ScalaLF-Regular" w:hAnsi="ScalaLF-Regular"/>
        </w:rPr>
        <w:t>of</w:t>
      </w:r>
      <w:r w:rsidR="00AD4DBF">
        <w:rPr>
          <w:rFonts w:ascii="ScalaLF-Regular" w:hAnsi="ScalaLF-Regular"/>
        </w:rPr>
        <w:t xml:space="preserve"> </w:t>
      </w:r>
      <w:r w:rsidR="00FA36F4">
        <w:rPr>
          <w:rFonts w:ascii="ScalaLF-Regular" w:hAnsi="ScalaLF-Regular"/>
        </w:rPr>
        <w:t>Work is considered ineligible.</w:t>
      </w:r>
    </w:p>
    <w:p w:rsidR="00FA36F4" w:rsidRDefault="00FA36F4">
      <w:pPr>
        <w:jc w:val="both"/>
        <w:rPr>
          <w:rFonts w:ascii="ScalaLF-Regular" w:hAnsi="ScalaLF-Regular"/>
        </w:rPr>
      </w:pPr>
    </w:p>
    <w:sectPr w:rsidR="00FA36F4" w:rsidSect="0027401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644" w:rsidRDefault="00CF4644">
      <w:r>
        <w:separator/>
      </w:r>
    </w:p>
  </w:endnote>
  <w:endnote w:type="continuationSeparator" w:id="0">
    <w:p w:rsidR="00CF4644" w:rsidRDefault="00CF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LF-Bold">
    <w:panose1 w:val="02040804050406020203"/>
    <w:charset w:val="00"/>
    <w:family w:val="roman"/>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LF-Regular">
    <w:panose1 w:val="0200050300000000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D96" w:rsidRDefault="00F76D96" w:rsidP="007F3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6D96" w:rsidRDefault="00F76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D96" w:rsidRPr="006562CE" w:rsidRDefault="00F76D96" w:rsidP="00386867">
    <w:pPr>
      <w:pStyle w:val="Footer"/>
      <w:framePr w:wrap="around" w:vAnchor="text" w:hAnchor="margin" w:xAlign="center" w:y="1"/>
      <w:jc w:val="center"/>
      <w:rPr>
        <w:rStyle w:val="PageNumber"/>
        <w:rFonts w:ascii="ScalaLF-Regular" w:hAnsi="ScalaLF-Regular"/>
        <w:sz w:val="20"/>
      </w:rPr>
    </w:pPr>
    <w:r w:rsidRPr="006562CE">
      <w:rPr>
        <w:rStyle w:val="PageNumber"/>
        <w:rFonts w:ascii="ScalaLF-Regular" w:hAnsi="ScalaLF-Regular"/>
        <w:sz w:val="20"/>
      </w:rPr>
      <w:fldChar w:fldCharType="begin"/>
    </w:r>
    <w:r w:rsidRPr="006562CE">
      <w:rPr>
        <w:rStyle w:val="PageNumber"/>
        <w:rFonts w:ascii="ScalaLF-Regular" w:hAnsi="ScalaLF-Regular"/>
        <w:sz w:val="20"/>
      </w:rPr>
      <w:instrText xml:space="preserve">PAGE  </w:instrText>
    </w:r>
    <w:r w:rsidRPr="006562CE">
      <w:rPr>
        <w:rStyle w:val="PageNumber"/>
        <w:rFonts w:ascii="ScalaLF-Regular" w:hAnsi="ScalaLF-Regular"/>
        <w:sz w:val="20"/>
      </w:rPr>
      <w:fldChar w:fldCharType="separate"/>
    </w:r>
    <w:r w:rsidR="001D2284">
      <w:rPr>
        <w:rStyle w:val="PageNumber"/>
        <w:rFonts w:ascii="ScalaLF-Regular" w:hAnsi="ScalaLF-Regular"/>
        <w:noProof/>
        <w:sz w:val="20"/>
      </w:rPr>
      <w:t>2</w:t>
    </w:r>
    <w:r w:rsidRPr="006562CE">
      <w:rPr>
        <w:rStyle w:val="PageNumber"/>
        <w:rFonts w:ascii="ScalaLF-Regular" w:hAnsi="ScalaLF-Regular"/>
        <w:sz w:val="20"/>
      </w:rPr>
      <w:fldChar w:fldCharType="end"/>
    </w:r>
  </w:p>
  <w:tbl>
    <w:tblPr>
      <w:tblW w:w="9648" w:type="dxa"/>
      <w:tblLook w:val="01E0" w:firstRow="1" w:lastRow="1" w:firstColumn="1" w:lastColumn="1" w:noHBand="0" w:noVBand="0"/>
    </w:tblPr>
    <w:tblGrid>
      <w:gridCol w:w="4248"/>
      <w:gridCol w:w="810"/>
      <w:gridCol w:w="4590"/>
    </w:tblGrid>
    <w:tr w:rsidR="00F76D96" w:rsidRPr="005016FA" w:rsidTr="005016FA">
      <w:tc>
        <w:tcPr>
          <w:tcW w:w="4248" w:type="dxa"/>
          <w:shd w:val="clear" w:color="auto" w:fill="auto"/>
        </w:tcPr>
        <w:p w:rsidR="00F76D96" w:rsidRPr="005016FA" w:rsidRDefault="00420510" w:rsidP="00E52980">
          <w:pPr>
            <w:pStyle w:val="Footer"/>
            <w:rPr>
              <w:rFonts w:ascii="ScalaLF-Regular" w:hAnsi="ScalaLF-Regular" w:cs="Arial"/>
              <w:sz w:val="20"/>
            </w:rPr>
          </w:pPr>
          <w:r>
            <w:rPr>
              <w:rFonts w:ascii="ScalaLF-Regular" w:hAnsi="ScalaLF-Regular" w:cs="Arial"/>
              <w:sz w:val="20"/>
            </w:rPr>
            <w:t>12.06</w:t>
          </w:r>
          <w:r w:rsidR="00545FEF">
            <w:rPr>
              <w:rFonts w:ascii="ScalaLF-Regular" w:hAnsi="ScalaLF-Regular" w:cs="Arial"/>
              <w:sz w:val="20"/>
            </w:rPr>
            <w:t>.19</w:t>
          </w:r>
        </w:p>
      </w:tc>
      <w:tc>
        <w:tcPr>
          <w:tcW w:w="810" w:type="dxa"/>
          <w:shd w:val="clear" w:color="auto" w:fill="auto"/>
        </w:tcPr>
        <w:p w:rsidR="00F76D96" w:rsidRPr="005016FA" w:rsidRDefault="00F76D96" w:rsidP="005016FA">
          <w:pPr>
            <w:pStyle w:val="Footer"/>
            <w:jc w:val="center"/>
            <w:rPr>
              <w:rFonts w:ascii="ScalaLF-Regular" w:hAnsi="ScalaLF-Regular" w:cs="Arial"/>
              <w:sz w:val="20"/>
            </w:rPr>
          </w:pPr>
        </w:p>
      </w:tc>
      <w:tc>
        <w:tcPr>
          <w:tcW w:w="4590" w:type="dxa"/>
          <w:shd w:val="clear" w:color="auto" w:fill="auto"/>
        </w:tcPr>
        <w:p w:rsidR="00F76D96" w:rsidRDefault="005606AC" w:rsidP="00AD4DBF">
          <w:pPr>
            <w:pStyle w:val="Footer"/>
            <w:jc w:val="right"/>
            <w:rPr>
              <w:rFonts w:ascii="ScalaLF-Regular" w:hAnsi="ScalaLF-Regular" w:cs="Arial"/>
              <w:sz w:val="20"/>
            </w:rPr>
          </w:pPr>
          <w:r>
            <w:rPr>
              <w:rFonts w:ascii="ScalaLF-Regular" w:hAnsi="ScalaLF-Regular" w:cs="Arial"/>
              <w:sz w:val="20"/>
            </w:rPr>
            <w:t>Measure M Funding Agreement – MSP</w:t>
          </w:r>
        </w:p>
        <w:p w:rsidR="005606AC" w:rsidRPr="005016FA" w:rsidRDefault="005606AC" w:rsidP="00AD4DBF">
          <w:pPr>
            <w:pStyle w:val="Footer"/>
            <w:jc w:val="right"/>
            <w:rPr>
              <w:rFonts w:ascii="ScalaLF-Regular" w:hAnsi="ScalaLF-Regular" w:cs="Arial"/>
              <w:sz w:val="20"/>
            </w:rPr>
          </w:pPr>
          <w:r>
            <w:rPr>
              <w:rFonts w:ascii="ScalaLF-Regular" w:hAnsi="ScalaLF-Regular" w:cs="Arial"/>
              <w:sz w:val="20"/>
            </w:rPr>
            <w:t>Attachment D – Reporting Guidelines</w:t>
          </w:r>
        </w:p>
      </w:tc>
    </w:tr>
  </w:tbl>
  <w:p w:rsidR="00F76D96" w:rsidRPr="007B2A8A" w:rsidRDefault="00F76D9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644" w:rsidRDefault="00CF4644">
      <w:r>
        <w:separator/>
      </w:r>
    </w:p>
  </w:footnote>
  <w:footnote w:type="continuationSeparator" w:id="0">
    <w:p w:rsidR="00CF4644" w:rsidRDefault="00CF4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4D08266"/>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28F"/>
    <w:rsid w:val="000311C0"/>
    <w:rsid w:val="0006015F"/>
    <w:rsid w:val="00074485"/>
    <w:rsid w:val="00085124"/>
    <w:rsid w:val="00095890"/>
    <w:rsid w:val="001218FC"/>
    <w:rsid w:val="001A5FDF"/>
    <w:rsid w:val="001B356B"/>
    <w:rsid w:val="001B4615"/>
    <w:rsid w:val="001D2284"/>
    <w:rsid w:val="001F2A31"/>
    <w:rsid w:val="0020204F"/>
    <w:rsid w:val="00242BB1"/>
    <w:rsid w:val="00252394"/>
    <w:rsid w:val="00274018"/>
    <w:rsid w:val="002E37CE"/>
    <w:rsid w:val="002F4919"/>
    <w:rsid w:val="002F64E6"/>
    <w:rsid w:val="00306856"/>
    <w:rsid w:val="00386867"/>
    <w:rsid w:val="003A4BC5"/>
    <w:rsid w:val="003B4700"/>
    <w:rsid w:val="003D4084"/>
    <w:rsid w:val="00420510"/>
    <w:rsid w:val="004427A7"/>
    <w:rsid w:val="00466D69"/>
    <w:rsid w:val="005016FA"/>
    <w:rsid w:val="00545FEF"/>
    <w:rsid w:val="005606AC"/>
    <w:rsid w:val="0056799E"/>
    <w:rsid w:val="005B5313"/>
    <w:rsid w:val="005E17E4"/>
    <w:rsid w:val="006562CE"/>
    <w:rsid w:val="00656542"/>
    <w:rsid w:val="006A646B"/>
    <w:rsid w:val="006F2D40"/>
    <w:rsid w:val="00711D4E"/>
    <w:rsid w:val="007A1B4A"/>
    <w:rsid w:val="007B0C75"/>
    <w:rsid w:val="007B2A8A"/>
    <w:rsid w:val="007F313C"/>
    <w:rsid w:val="008117C0"/>
    <w:rsid w:val="009B3BF5"/>
    <w:rsid w:val="009C538A"/>
    <w:rsid w:val="009D2ED9"/>
    <w:rsid w:val="009F7564"/>
    <w:rsid w:val="00A72924"/>
    <w:rsid w:val="00A82607"/>
    <w:rsid w:val="00AD4DBF"/>
    <w:rsid w:val="00B052BA"/>
    <w:rsid w:val="00B1369A"/>
    <w:rsid w:val="00B20F7F"/>
    <w:rsid w:val="00B23C76"/>
    <w:rsid w:val="00B63A81"/>
    <w:rsid w:val="00B80A95"/>
    <w:rsid w:val="00B832F9"/>
    <w:rsid w:val="00BC0973"/>
    <w:rsid w:val="00BD15CA"/>
    <w:rsid w:val="00BF0B08"/>
    <w:rsid w:val="00C97100"/>
    <w:rsid w:val="00CA184B"/>
    <w:rsid w:val="00CD1B85"/>
    <w:rsid w:val="00CF428F"/>
    <w:rsid w:val="00CF4644"/>
    <w:rsid w:val="00D30951"/>
    <w:rsid w:val="00D373F5"/>
    <w:rsid w:val="00E52980"/>
    <w:rsid w:val="00E776F6"/>
    <w:rsid w:val="00E90626"/>
    <w:rsid w:val="00ED405A"/>
    <w:rsid w:val="00EF4CF0"/>
    <w:rsid w:val="00F76D96"/>
    <w:rsid w:val="00F879F0"/>
    <w:rsid w:val="00F9568C"/>
    <w:rsid w:val="00FA36F4"/>
    <w:rsid w:val="00FA7FE9"/>
    <w:rsid w:val="00FC1F51"/>
    <w:rsid w:val="00FD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FDB4E1"/>
  <w15:docId w15:val="{432ED054-CCDE-4DA0-93D1-53915CE4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spacing w:before="120"/>
      <w:jc w:val="center"/>
      <w:outlineLvl w:val="2"/>
    </w:pPr>
    <w:rPr>
      <w:rFonts w:ascii="ScalaLF-Bold" w:hAnsi="ScalaLF-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2A8A"/>
    <w:pPr>
      <w:tabs>
        <w:tab w:val="center" w:pos="4320"/>
        <w:tab w:val="right" w:pos="8640"/>
      </w:tabs>
    </w:pPr>
  </w:style>
  <w:style w:type="paragraph" w:styleId="Footer">
    <w:name w:val="footer"/>
    <w:basedOn w:val="Normal"/>
    <w:rsid w:val="007B2A8A"/>
    <w:pPr>
      <w:tabs>
        <w:tab w:val="center" w:pos="4320"/>
        <w:tab w:val="right" w:pos="8640"/>
      </w:tabs>
    </w:pPr>
  </w:style>
  <w:style w:type="table" w:styleId="TableGrid">
    <w:name w:val="Table Grid"/>
    <w:basedOn w:val="TableNormal"/>
    <w:rsid w:val="007B2A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2A8A"/>
  </w:style>
  <w:style w:type="paragraph" w:styleId="BalloonText">
    <w:name w:val="Balloon Text"/>
    <w:basedOn w:val="Normal"/>
    <w:link w:val="BalloonTextChar"/>
    <w:rsid w:val="001B356B"/>
    <w:rPr>
      <w:rFonts w:ascii="Tahoma" w:hAnsi="Tahoma" w:cs="Tahoma"/>
      <w:sz w:val="16"/>
      <w:szCs w:val="16"/>
    </w:rPr>
  </w:style>
  <w:style w:type="character" w:customStyle="1" w:styleId="BalloonTextChar">
    <w:name w:val="Balloon Text Char"/>
    <w:basedOn w:val="DefaultParagraphFont"/>
    <w:link w:val="BalloonText"/>
    <w:rsid w:val="001B356B"/>
    <w:rPr>
      <w:rFonts w:ascii="Tahoma" w:hAnsi="Tahoma" w:cs="Tahoma"/>
      <w:sz w:val="16"/>
      <w:szCs w:val="16"/>
    </w:rPr>
  </w:style>
  <w:style w:type="character" w:styleId="Hyperlink">
    <w:name w:val="Hyperlink"/>
    <w:basedOn w:val="DefaultParagraphFont"/>
    <w:rsid w:val="00B23C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METRO.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235F-FBBE-4DB6-AE6F-FA7DC554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 Local Attachment C Admin Guidelines</vt:lpstr>
    </vt:vector>
  </TitlesOfParts>
  <Company>mta</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 Local Attachment C Admin Guidelines</dc:title>
  <dc:creator>sina zarifi</dc:creator>
  <cp:lastModifiedBy>Pan, Fanny</cp:lastModifiedBy>
  <cp:revision>6</cp:revision>
  <cp:lastPrinted>2018-02-05T23:05:00Z</cp:lastPrinted>
  <dcterms:created xsi:type="dcterms:W3CDTF">2019-03-07T01:34:00Z</dcterms:created>
  <dcterms:modified xsi:type="dcterms:W3CDTF">2019-12-09T18:19:00Z</dcterms:modified>
</cp:coreProperties>
</file>